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522" w:type="dxa"/>
        <w:tblBorders>
          <w:insideH w:val="single" w:sz="4" w:space="0" w:color="auto"/>
          <w:insideV w:val="single" w:sz="4" w:space="0" w:color="auto"/>
        </w:tblBorders>
        <w:tblLook w:val="0000"/>
      </w:tblPr>
      <w:tblGrid>
        <w:gridCol w:w="4950"/>
        <w:gridCol w:w="5032"/>
      </w:tblGrid>
      <w:tr w:rsidR="004B4F9B" w:rsidRPr="00FA5066" w:rsidTr="004B4F9B">
        <w:trPr>
          <w:trHeight w:val="243"/>
        </w:trPr>
        <w:tc>
          <w:tcPr>
            <w:tcW w:w="4950" w:type="dxa"/>
          </w:tcPr>
          <w:p w:rsidR="00FA5066" w:rsidRPr="00FA5066" w:rsidRDefault="00FA5066" w:rsidP="00FA5066">
            <w:pPr>
              <w:pStyle w:val="a3"/>
              <w:widowControl w:val="0"/>
              <w:spacing w:afterLines="100"/>
              <w:ind w:firstLine="0"/>
              <w:jc w:val="left"/>
              <w:rPr>
                <w:sz w:val="24"/>
                <w:szCs w:val="24"/>
              </w:rPr>
            </w:pPr>
            <w:r w:rsidRPr="00FA5066">
              <w:rPr>
                <w:sz w:val="24"/>
                <w:szCs w:val="24"/>
              </w:rPr>
              <w:t xml:space="preserve">Проблема стосунків Візантії і кочівників Х–ХІ ст., будучи сформульованою у </w:t>
            </w:r>
            <w:r w:rsidRPr="00FA5066">
              <w:rPr>
                <w:i/>
                <w:sz w:val="24"/>
                <w:szCs w:val="24"/>
              </w:rPr>
              <w:t>Byzantium and the Pechenegs</w:t>
            </w:r>
            <w:r w:rsidRPr="00FA5066">
              <w:rPr>
                <w:sz w:val="24"/>
                <w:szCs w:val="24"/>
              </w:rPr>
              <w:t xml:space="preserve"> В. Васильєвського, до середини ХХ ст. зробила великий крок уперед. </w:t>
            </w:r>
            <w:r w:rsidRPr="00FA5066">
              <w:rPr>
                <w:i/>
                <w:sz w:val="24"/>
                <w:szCs w:val="24"/>
              </w:rPr>
              <w:t>Byzantium and the Pechenegs</w:t>
            </w:r>
            <w:r w:rsidRPr="00FA5066">
              <w:rPr>
                <w:sz w:val="24"/>
                <w:szCs w:val="24"/>
              </w:rPr>
              <w:t xml:space="preserve"> заклала основу для вивчення про</w:t>
            </w:r>
            <w:r w:rsidRPr="00FA5066">
              <w:rPr>
                <w:sz w:val="24"/>
                <w:szCs w:val="24"/>
              </w:rPr>
              <w:softHyphen/>
              <w:t>бле</w:t>
            </w:r>
            <w:r w:rsidRPr="00FA5066">
              <w:rPr>
                <w:sz w:val="24"/>
                <w:szCs w:val="24"/>
              </w:rPr>
              <w:softHyphen/>
              <w:t>ма</w:t>
            </w:r>
            <w:r w:rsidRPr="00FA5066">
              <w:rPr>
                <w:sz w:val="24"/>
                <w:szCs w:val="24"/>
              </w:rPr>
              <w:softHyphen/>
              <w:t>ти</w:t>
            </w:r>
            <w:r w:rsidRPr="00FA5066">
              <w:rPr>
                <w:sz w:val="24"/>
                <w:szCs w:val="24"/>
              </w:rPr>
              <w:softHyphen/>
              <w:t>ки, окреслила коло джерел до про</w:t>
            </w:r>
            <w:r w:rsidRPr="00FA5066">
              <w:rPr>
                <w:sz w:val="24"/>
                <w:szCs w:val="24"/>
              </w:rPr>
              <w:softHyphen/>
              <w:t>блеми, розглянула важливий проміжок історії сто</w:t>
            </w:r>
            <w:r w:rsidRPr="00FA5066">
              <w:rPr>
                <w:sz w:val="24"/>
                <w:szCs w:val="24"/>
              </w:rPr>
              <w:softHyphen/>
              <w:t>сунків Візантії і кочівників (1048–1095 рр.), засвідчила важливість подій, пов’язаних з цими стосунками, як для історії імперії, так і для історії Європи в цілому.</w:t>
            </w:r>
          </w:p>
          <w:p w:rsidR="00FA5066" w:rsidRPr="00FA5066" w:rsidRDefault="00FA5066" w:rsidP="00FA5066">
            <w:pPr>
              <w:widowControl w:val="0"/>
              <w:spacing w:afterLines="100" w:line="360" w:lineRule="auto"/>
              <w:rPr>
                <w:rFonts w:ascii="Times New Roman" w:hAnsi="Times New Roman" w:cs="Times New Roman"/>
                <w:sz w:val="24"/>
                <w:szCs w:val="24"/>
              </w:rPr>
            </w:pPr>
            <w:r w:rsidRPr="00FA5066">
              <w:rPr>
                <w:rFonts w:ascii="Times New Roman" w:hAnsi="Times New Roman" w:cs="Times New Roman"/>
                <w:sz w:val="24"/>
                <w:szCs w:val="24"/>
              </w:rPr>
              <w:t>Значною частиною джерельної бази до вивчення проблеми з то</w:t>
            </w:r>
            <w:r w:rsidRPr="00FA5066">
              <w:rPr>
                <w:rFonts w:ascii="Times New Roman" w:hAnsi="Times New Roman" w:cs="Times New Roman"/>
                <w:sz w:val="24"/>
                <w:szCs w:val="24"/>
              </w:rPr>
              <w:softHyphen/>
              <w:t>чки зору су</w:t>
            </w:r>
            <w:r w:rsidRPr="00FA5066">
              <w:rPr>
                <w:rFonts w:ascii="Times New Roman" w:hAnsi="Times New Roman" w:cs="Times New Roman"/>
                <w:sz w:val="24"/>
                <w:szCs w:val="24"/>
              </w:rPr>
              <w:softHyphen/>
              <w:t>час</w:t>
            </w:r>
            <w:r w:rsidRPr="00FA5066">
              <w:rPr>
                <w:rFonts w:ascii="Times New Roman" w:hAnsi="Times New Roman" w:cs="Times New Roman"/>
                <w:sz w:val="24"/>
                <w:szCs w:val="24"/>
              </w:rPr>
              <w:softHyphen/>
              <w:t>ного стану досліджень є вся сукупність візантійських, угорських, бол</w:t>
            </w:r>
            <w:r w:rsidRPr="00FA5066">
              <w:rPr>
                <w:rFonts w:ascii="Times New Roman" w:hAnsi="Times New Roman" w:cs="Times New Roman"/>
                <w:sz w:val="24"/>
                <w:szCs w:val="24"/>
              </w:rPr>
              <w:softHyphen/>
            </w:r>
            <w:r w:rsidRPr="00FA5066">
              <w:rPr>
                <w:rFonts w:ascii="Times New Roman" w:hAnsi="Times New Roman" w:cs="Times New Roman"/>
                <w:sz w:val="24"/>
                <w:szCs w:val="24"/>
              </w:rPr>
              <w:softHyphen/>
              <w:t>гар</w:t>
            </w:r>
            <w:r w:rsidRPr="00FA5066">
              <w:rPr>
                <w:rFonts w:ascii="Times New Roman" w:hAnsi="Times New Roman" w:cs="Times New Roman"/>
                <w:sz w:val="24"/>
                <w:szCs w:val="24"/>
              </w:rPr>
              <w:softHyphen/>
              <w:t>ських, західних (латинських), східних (вірменських, арабських, гру</w:t>
            </w:r>
            <w:r w:rsidRPr="00FA5066">
              <w:rPr>
                <w:rFonts w:ascii="Times New Roman" w:hAnsi="Times New Roman" w:cs="Times New Roman"/>
                <w:sz w:val="24"/>
                <w:szCs w:val="24"/>
              </w:rPr>
              <w:softHyphen/>
              <w:t>зин</w:t>
            </w:r>
            <w:r w:rsidRPr="00FA5066">
              <w:rPr>
                <w:rFonts w:ascii="Times New Roman" w:hAnsi="Times New Roman" w:cs="Times New Roman"/>
                <w:sz w:val="24"/>
                <w:szCs w:val="24"/>
              </w:rPr>
              <w:softHyphen/>
              <w:t>сь</w:t>
            </w:r>
            <w:r w:rsidRPr="00FA5066">
              <w:rPr>
                <w:rFonts w:ascii="Times New Roman" w:hAnsi="Times New Roman" w:cs="Times New Roman"/>
                <w:sz w:val="24"/>
                <w:szCs w:val="24"/>
              </w:rPr>
              <w:softHyphen/>
              <w:t>ких, сі</w:t>
            </w:r>
            <w:r w:rsidRPr="00FA5066">
              <w:rPr>
                <w:rFonts w:ascii="Times New Roman" w:hAnsi="Times New Roman" w:cs="Times New Roman"/>
                <w:sz w:val="24"/>
                <w:szCs w:val="24"/>
              </w:rPr>
              <w:softHyphen/>
              <w:t>рій</w:t>
            </w:r>
            <w:r w:rsidRPr="00FA5066">
              <w:rPr>
                <w:rFonts w:ascii="Times New Roman" w:hAnsi="Times New Roman" w:cs="Times New Roman"/>
                <w:sz w:val="24"/>
                <w:szCs w:val="24"/>
              </w:rPr>
              <w:softHyphen/>
              <w:t xml:space="preserve">ських) та ін. писемних джерел. За вказаний період (сер. ХІХ – сер. ХХ ст.) більшість з цих джерел (у т.ч. найголовніші – </w:t>
            </w:r>
            <w:r w:rsidRPr="00FA5066">
              <w:rPr>
                <w:rFonts w:ascii="Times New Roman" w:hAnsi="Times New Roman" w:cs="Times New Roman"/>
                <w:i/>
                <w:sz w:val="24"/>
                <w:szCs w:val="24"/>
              </w:rPr>
              <w:t>DAI</w:t>
            </w:r>
            <w:r w:rsidRPr="00FA5066">
              <w:rPr>
                <w:rFonts w:ascii="Times New Roman" w:hAnsi="Times New Roman" w:cs="Times New Roman"/>
                <w:sz w:val="24"/>
                <w:szCs w:val="24"/>
              </w:rPr>
              <w:t xml:space="preserve">, </w:t>
            </w:r>
            <w:r>
              <w:rPr>
                <w:rFonts w:ascii="Times New Roman" w:hAnsi="Times New Roman" w:cs="Times New Roman"/>
                <w:sz w:val="24"/>
                <w:szCs w:val="24"/>
                <w:lang w:val="uk-UA"/>
              </w:rPr>
              <w:t xml:space="preserve">Алексіада, </w:t>
            </w:r>
            <w:r w:rsidRPr="00FA5066">
              <w:rPr>
                <w:rFonts w:ascii="Times New Roman" w:hAnsi="Times New Roman" w:cs="Times New Roman"/>
                <w:sz w:val="24"/>
                <w:szCs w:val="24"/>
              </w:rPr>
              <w:t xml:space="preserve">твори </w:t>
            </w:r>
            <w:r>
              <w:rPr>
                <w:rFonts w:ascii="Times New Roman" w:hAnsi="Times New Roman" w:cs="Times New Roman"/>
                <w:sz w:val="24"/>
                <w:szCs w:val="24"/>
                <w:lang w:val="uk-UA"/>
              </w:rPr>
              <w:t xml:space="preserve">Іоанна Скилиці </w:t>
            </w:r>
            <w:r w:rsidRPr="00FA5066">
              <w:rPr>
                <w:rFonts w:ascii="Times New Roman" w:hAnsi="Times New Roman" w:cs="Times New Roman"/>
                <w:sz w:val="24"/>
                <w:szCs w:val="24"/>
              </w:rPr>
              <w:t xml:space="preserve">та </w:t>
            </w:r>
            <w:r>
              <w:rPr>
                <w:rFonts w:ascii="Times New Roman" w:hAnsi="Times New Roman" w:cs="Times New Roman"/>
                <w:sz w:val="24"/>
                <w:szCs w:val="24"/>
                <w:lang w:val="uk-UA"/>
              </w:rPr>
              <w:t>Георгія Кедреноса</w:t>
            </w:r>
            <w:r w:rsidRPr="00FA5066">
              <w:rPr>
                <w:rFonts w:ascii="Times New Roman" w:hAnsi="Times New Roman" w:cs="Times New Roman"/>
                <w:sz w:val="24"/>
                <w:szCs w:val="24"/>
              </w:rPr>
              <w:t>, повідомлення східних авторів про Пн. Причорномор’я тощо) було введено до наукового обігу, видано повністю чи частково мовами ори</w:t>
            </w:r>
            <w:r w:rsidRPr="00FA5066">
              <w:rPr>
                <w:rFonts w:ascii="Times New Roman" w:hAnsi="Times New Roman" w:cs="Times New Roman"/>
                <w:sz w:val="24"/>
                <w:szCs w:val="24"/>
              </w:rPr>
              <w:softHyphen/>
              <w:t>гіналу або у перекладах на англійську, німецьку, російську та ін. європейські мо</w:t>
            </w:r>
            <w:r w:rsidRPr="00FA5066">
              <w:rPr>
                <w:rFonts w:ascii="Times New Roman" w:hAnsi="Times New Roman" w:cs="Times New Roman"/>
                <w:sz w:val="24"/>
                <w:szCs w:val="24"/>
              </w:rPr>
              <w:softHyphen/>
              <w:t xml:space="preserve">ви. Більшість головних джерел було піддано прискіпливому аналізу, уточнювалися хронологія, географічна локалізація подій, вказаних у джерелах, етнічна атрибуція народів, які брали у них участь. Наукові роботи останнього з трьох виділених у даному періоді вивчення </w:t>
            </w:r>
            <w:r w:rsidRPr="00FA5066">
              <w:rPr>
                <w:rFonts w:ascii="Times New Roman" w:hAnsi="Times New Roman" w:cs="Times New Roman"/>
                <w:sz w:val="24"/>
                <w:szCs w:val="24"/>
              </w:rPr>
              <w:lastRenderedPageBreak/>
              <w:t>проблеми етапів започаткували широке використання в аргументації нумізматичних та сфрагістичних джерел. Перших успіхів досягла середньовічна археологія.</w:t>
            </w:r>
          </w:p>
          <w:p w:rsidR="00FA5066" w:rsidRPr="00FA5066" w:rsidRDefault="00FA5066" w:rsidP="00FA5066">
            <w:pPr>
              <w:widowControl w:val="0"/>
              <w:spacing w:afterLines="100" w:line="360" w:lineRule="auto"/>
              <w:rPr>
                <w:rFonts w:ascii="Times New Roman" w:hAnsi="Times New Roman" w:cs="Times New Roman"/>
                <w:spacing w:val="-4"/>
                <w:sz w:val="24"/>
                <w:szCs w:val="24"/>
              </w:rPr>
            </w:pPr>
            <w:r w:rsidRPr="00FA5066">
              <w:rPr>
                <w:rFonts w:ascii="Times New Roman" w:hAnsi="Times New Roman" w:cs="Times New Roman"/>
                <w:spacing w:val="-4"/>
                <w:sz w:val="24"/>
                <w:szCs w:val="24"/>
              </w:rPr>
              <w:t>За вказаний час представники національних історіографій на основі пи</w:t>
            </w:r>
            <w:r w:rsidRPr="00FA5066">
              <w:rPr>
                <w:rFonts w:ascii="Times New Roman" w:hAnsi="Times New Roman" w:cs="Times New Roman"/>
                <w:spacing w:val="-4"/>
                <w:sz w:val="24"/>
                <w:szCs w:val="24"/>
              </w:rPr>
              <w:softHyphen/>
              <w:t>семних джерел досконало вивчили фактографію перебування кочівників на пев</w:t>
            </w:r>
            <w:r w:rsidRPr="00FA5066">
              <w:rPr>
                <w:rFonts w:ascii="Times New Roman" w:hAnsi="Times New Roman" w:cs="Times New Roman"/>
                <w:spacing w:val="-4"/>
                <w:sz w:val="24"/>
                <w:szCs w:val="24"/>
              </w:rPr>
              <w:softHyphen/>
              <w:t>них територіях (України, Росії, Угорщини, Болгарії, Румунії) та їх стосунків з пред</w:t>
            </w:r>
            <w:r w:rsidRPr="00FA5066">
              <w:rPr>
                <w:rFonts w:ascii="Times New Roman" w:hAnsi="Times New Roman" w:cs="Times New Roman"/>
                <w:spacing w:val="-4"/>
                <w:sz w:val="24"/>
                <w:szCs w:val="24"/>
              </w:rPr>
              <w:softHyphen/>
            </w:r>
            <w:r w:rsidRPr="00FA5066">
              <w:rPr>
                <w:rFonts w:ascii="Times New Roman" w:hAnsi="Times New Roman" w:cs="Times New Roman"/>
                <w:spacing w:val="-4"/>
                <w:sz w:val="24"/>
                <w:szCs w:val="24"/>
              </w:rPr>
              <w:softHyphen/>
              <w:t>ставниками автохтонних мешканців регіонів. З’явилися нові концепції роз</w:t>
            </w:r>
            <w:r w:rsidRPr="00FA5066">
              <w:rPr>
                <w:rFonts w:ascii="Times New Roman" w:hAnsi="Times New Roman" w:cs="Times New Roman"/>
                <w:spacing w:val="-4"/>
                <w:sz w:val="24"/>
                <w:szCs w:val="24"/>
              </w:rPr>
              <w:softHyphen/>
              <w:t>гля</w:t>
            </w:r>
            <w:r w:rsidRPr="00FA5066">
              <w:rPr>
                <w:rFonts w:ascii="Times New Roman" w:hAnsi="Times New Roman" w:cs="Times New Roman"/>
                <w:spacing w:val="-4"/>
                <w:sz w:val="24"/>
                <w:szCs w:val="24"/>
              </w:rPr>
              <w:softHyphen/>
              <w:t>ду цих стосунків. Наукові праці про кочівників простежили їх історію від за</w:t>
            </w:r>
            <w:r w:rsidRPr="00FA5066">
              <w:rPr>
                <w:rFonts w:ascii="Times New Roman" w:hAnsi="Times New Roman" w:cs="Times New Roman"/>
                <w:spacing w:val="-4"/>
                <w:sz w:val="24"/>
                <w:szCs w:val="24"/>
              </w:rPr>
              <w:softHyphen/>
              <w:t>род</w:t>
            </w:r>
            <w:r w:rsidRPr="00FA5066">
              <w:rPr>
                <w:rFonts w:ascii="Times New Roman" w:hAnsi="Times New Roman" w:cs="Times New Roman"/>
                <w:spacing w:val="-4"/>
                <w:sz w:val="24"/>
                <w:szCs w:val="24"/>
              </w:rPr>
              <w:softHyphen/>
            </w:r>
            <w:r w:rsidRPr="00FA5066">
              <w:rPr>
                <w:rFonts w:ascii="Times New Roman" w:hAnsi="Times New Roman" w:cs="Times New Roman"/>
                <w:spacing w:val="-4"/>
                <w:sz w:val="24"/>
                <w:szCs w:val="24"/>
              </w:rPr>
              <w:softHyphen/>
              <w:t>ження до появи на північному березі Чорного моря та зникнення з історичної арени. Вив</w:t>
            </w:r>
            <w:r w:rsidRPr="00FA5066">
              <w:rPr>
                <w:rFonts w:ascii="Times New Roman" w:hAnsi="Times New Roman" w:cs="Times New Roman"/>
                <w:spacing w:val="-4"/>
                <w:sz w:val="24"/>
                <w:szCs w:val="24"/>
              </w:rPr>
              <w:softHyphen/>
            </w:r>
            <w:r w:rsidRPr="00FA5066">
              <w:rPr>
                <w:rFonts w:ascii="Times New Roman" w:hAnsi="Times New Roman" w:cs="Times New Roman"/>
                <w:spacing w:val="-4"/>
                <w:sz w:val="24"/>
                <w:szCs w:val="24"/>
              </w:rPr>
              <w:softHyphen/>
              <w:t xml:space="preserve">чалися мовні релікти кочівників у візантійських та ін. писемних джерелах. </w:t>
            </w:r>
          </w:p>
          <w:p w:rsidR="00FA5066" w:rsidRPr="00FA5066" w:rsidRDefault="00FA5066" w:rsidP="00FA5066">
            <w:pPr>
              <w:widowControl w:val="0"/>
              <w:spacing w:afterLines="100" w:line="360" w:lineRule="auto"/>
              <w:rPr>
                <w:rFonts w:ascii="Times New Roman" w:hAnsi="Times New Roman" w:cs="Times New Roman"/>
                <w:sz w:val="24"/>
                <w:szCs w:val="24"/>
              </w:rPr>
            </w:pPr>
            <w:r w:rsidRPr="00FA5066">
              <w:rPr>
                <w:rFonts w:ascii="Times New Roman" w:hAnsi="Times New Roman" w:cs="Times New Roman"/>
                <w:sz w:val="24"/>
                <w:szCs w:val="24"/>
              </w:rPr>
              <w:t>Візантиністика, крім досягнень у виданні та фундаментальному опрацюванні джерел, зробила значний поступ у вивченні історії Візантії Х–ХІ ст., питань військового та адміністративного устрою, церковного життя, внутрішньо- та зовнішньополітичних подій. Більшою чи меншою мірою було накреслено фактографію стосунків імперії з кочівниками Пн. Причорномор’я.</w:t>
            </w:r>
          </w:p>
          <w:p w:rsidR="004B4F9B" w:rsidRPr="00966B83" w:rsidRDefault="00FA5066" w:rsidP="00966B83">
            <w:pPr>
              <w:pStyle w:val="a3"/>
              <w:widowControl w:val="0"/>
              <w:spacing w:afterLines="100"/>
              <w:ind w:firstLine="0"/>
              <w:jc w:val="left"/>
              <w:rPr>
                <w:snapToGrid w:val="0"/>
                <w:sz w:val="24"/>
                <w:szCs w:val="24"/>
                <w:lang w:val="en-US"/>
              </w:rPr>
            </w:pPr>
            <w:r w:rsidRPr="00FA5066">
              <w:rPr>
                <w:sz w:val="24"/>
                <w:szCs w:val="24"/>
              </w:rPr>
              <w:t xml:space="preserve">Найбільш перспективними станом на середину ХХ ст. були дослідження, пов’язані з узагальненням вже існуючих джерел та пошуком нових, головним чином матеріальних. Набирала обертів археологія, нумізматика та сфрагістика, монети, печатки та археологічні знахідки починали долати </w:t>
            </w:r>
            <w:r w:rsidRPr="00FA5066">
              <w:rPr>
                <w:sz w:val="24"/>
                <w:szCs w:val="24"/>
              </w:rPr>
              <w:lastRenderedPageBreak/>
              <w:t>шлях від музейних артефактів до повноцінних джерел.</w:t>
            </w:r>
          </w:p>
        </w:tc>
        <w:tc>
          <w:tcPr>
            <w:tcW w:w="5032" w:type="dxa"/>
          </w:tcPr>
          <w:p w:rsidR="00FA5066" w:rsidRPr="00FA5066" w:rsidRDefault="00FA5066" w:rsidP="00FA5066">
            <w:pPr>
              <w:pStyle w:val="TableContents"/>
              <w:spacing w:afterLines="100" w:line="360" w:lineRule="auto"/>
              <w:rPr>
                <w:lang w:val="en-US"/>
              </w:rPr>
            </w:pPr>
            <w:r w:rsidRPr="00FA5066">
              <w:rPr>
                <w:lang w:val="en-US"/>
              </w:rPr>
              <w:lastRenderedPageBreak/>
              <w:t xml:space="preserve">Formulated by </w:t>
            </w:r>
            <w:r w:rsidRPr="00FA5066">
              <w:rPr>
                <w:lang w:val="uk-UA"/>
              </w:rPr>
              <w:t>Vasilievskiĭ</w:t>
            </w:r>
            <w:r w:rsidRPr="00FA5066">
              <w:rPr>
                <w:lang w:val="en-US"/>
              </w:rPr>
              <w:t xml:space="preserve"> in </w:t>
            </w:r>
            <w:r w:rsidRPr="00FA5066">
              <w:rPr>
                <w:i/>
                <w:lang w:val="en-US"/>
              </w:rPr>
              <w:t>Byzantium and the Pechenegs</w:t>
            </w:r>
            <w:r w:rsidRPr="00FA5066">
              <w:rPr>
                <w:lang w:val="en-US"/>
              </w:rPr>
              <w:t xml:space="preserve">, the problem of Byzantine-nomadic relations in the tenth and eleventh centuries </w:t>
            </w:r>
            <w:r w:rsidR="00966B83">
              <w:rPr>
                <w:lang w:val="en-US"/>
              </w:rPr>
              <w:t xml:space="preserve">had </w:t>
            </w:r>
            <w:r w:rsidRPr="00FA5066">
              <w:rPr>
                <w:lang w:val="en-US"/>
              </w:rPr>
              <w:t xml:space="preserve">made a big step forward by the end of the 1950s. </w:t>
            </w:r>
            <w:r w:rsidRPr="00FA5066">
              <w:rPr>
                <w:i/>
                <w:lang w:val="en-US"/>
              </w:rPr>
              <w:t>Byzantium and the Pechenegs</w:t>
            </w:r>
            <w:r w:rsidRPr="00FA5066">
              <w:rPr>
                <w:lang w:val="en-US"/>
              </w:rPr>
              <w:t xml:space="preserve"> laid the foundation for the study of the subject, outlined the range of sources, analyzed an important period in the history of Byzantine-nomadic relations (1048-1095), and demonstrated the importance of the events pertaining to those relations for the history of the Empire and for European history more generally. </w:t>
            </w:r>
          </w:p>
          <w:p w:rsidR="00FA5066" w:rsidRPr="00FA5066" w:rsidRDefault="00FA5066" w:rsidP="00FA5066">
            <w:pPr>
              <w:pStyle w:val="TableContents"/>
              <w:spacing w:afterLines="100" w:line="360" w:lineRule="auto"/>
              <w:rPr>
                <w:lang w:val="en-US"/>
              </w:rPr>
            </w:pPr>
            <w:r w:rsidRPr="00FA5066">
              <w:rPr>
                <w:lang w:val="en-US"/>
              </w:rPr>
              <w:t>From the viewpoint of the present state of research, the totality of the Byzantine, Hungarian, Bulgarian, Western (Latin), Eastern (Armenian, Arab, Georgian, Syrian), and other written sources constitute</w:t>
            </w:r>
            <w:r>
              <w:rPr>
                <w:lang w:val="en-US"/>
              </w:rPr>
              <w:t>s</w:t>
            </w:r>
            <w:r w:rsidRPr="00FA5066">
              <w:rPr>
                <w:lang w:val="en-US"/>
              </w:rPr>
              <w:t xml:space="preserve"> a significant part of the source base for the study of the subject. During the period under consideration (from the mid-nineteenth to mid-twentieth century), most of these sources (including the most important ones – </w:t>
            </w:r>
            <w:r w:rsidRPr="00FA5066">
              <w:rPr>
                <w:i/>
                <w:lang w:val="en-US"/>
              </w:rPr>
              <w:t>DAI</w:t>
            </w:r>
            <w:r w:rsidRPr="00FA5066">
              <w:rPr>
                <w:lang w:val="en-US"/>
              </w:rPr>
              <w:t xml:space="preserve">, the </w:t>
            </w:r>
            <w:r w:rsidRPr="00FA5066">
              <w:rPr>
                <w:i/>
                <w:lang w:val="en-US"/>
              </w:rPr>
              <w:t>Alexiad</w:t>
            </w:r>
            <w:r w:rsidRPr="00FA5066">
              <w:rPr>
                <w:lang w:val="en-US"/>
              </w:rPr>
              <w:t>, the works of Ioannes Skylitzes and George Kedrenos, various eastern authors’ reports on the north coast of the Black Sea, and others</w:t>
            </w:r>
            <w:r w:rsidR="00966B83">
              <w:rPr>
                <w:lang w:val="en-US"/>
              </w:rPr>
              <w:t>) were introduced into academic</w:t>
            </w:r>
            <w:r w:rsidRPr="00FA5066">
              <w:rPr>
                <w:lang w:val="en-US"/>
              </w:rPr>
              <w:t xml:space="preserve"> circulation and published in whole or in part in their original languages ​​or in translations into English, German, Russian, and other European languages. Most of the principal sources were subjected to thorough analysis, involving the clarification of their chronology, localization of the reported events, and ethnic identification of the peoples who took part in those events. Numismatic and sigillographic sources began to </w:t>
            </w:r>
            <w:r w:rsidRPr="00FA5066">
              <w:rPr>
                <w:lang w:val="en-US"/>
              </w:rPr>
              <w:lastRenderedPageBreak/>
              <w:t>be widely used in research and argumentation during the last of the three phases into which we have divided this period. Medieval arch</w:t>
            </w:r>
            <w:r>
              <w:rPr>
                <w:lang w:val="en-US"/>
              </w:rPr>
              <w:t>a</w:t>
            </w:r>
            <w:r w:rsidRPr="00FA5066">
              <w:rPr>
                <w:lang w:val="en-US"/>
              </w:rPr>
              <w:t xml:space="preserve">eology had its first successes. </w:t>
            </w:r>
          </w:p>
          <w:p w:rsidR="00FA5066" w:rsidRPr="00FA5066" w:rsidRDefault="00FA5066" w:rsidP="00FA5066">
            <w:pPr>
              <w:pStyle w:val="TableContents"/>
              <w:spacing w:afterLines="100" w:line="360" w:lineRule="auto"/>
              <w:rPr>
                <w:lang w:val="en-US"/>
              </w:rPr>
            </w:pPr>
            <w:r w:rsidRPr="00FA5066">
              <w:rPr>
                <w:lang w:val="en-US"/>
              </w:rPr>
              <w:t>Based on written sources, representatives o</w:t>
            </w:r>
            <w:r>
              <w:rPr>
                <w:lang w:val="en-US"/>
              </w:rPr>
              <w:t xml:space="preserve">f the national historiographies </w:t>
            </w:r>
            <w:r w:rsidRPr="00FA5066">
              <w:rPr>
                <w:lang w:val="en-US"/>
              </w:rPr>
              <w:t xml:space="preserve">thoroughly explored </w:t>
            </w:r>
            <w:r>
              <w:rPr>
                <w:lang w:val="en-US"/>
              </w:rPr>
              <w:t xml:space="preserve">during this period </w:t>
            </w:r>
            <w:r w:rsidRPr="00FA5066">
              <w:rPr>
                <w:lang w:val="en-US"/>
              </w:rPr>
              <w:t xml:space="preserve">the facts of the nomadic presence on their respective territories (those of Ukraine, Russia, Hungary, Bulgaria, and Romania) and the nomads’ relations with the indigenous inhabitants. New interpretations of these relations emerged. Works on the nomads traced their history from their origins to their appearance on the north coast of the Black Sea to disappearance from the historical arena. Scholars studied the vestiges of their languages preserved in Byzantine and other texts. </w:t>
            </w:r>
          </w:p>
          <w:p w:rsidR="00FA5066" w:rsidRPr="00FA5066" w:rsidRDefault="00FA5066" w:rsidP="00FA5066">
            <w:pPr>
              <w:pStyle w:val="TableContents"/>
              <w:spacing w:afterLines="100" w:line="360" w:lineRule="auto"/>
              <w:rPr>
                <w:lang w:val="en-US"/>
              </w:rPr>
            </w:pPr>
            <w:r w:rsidRPr="00FA5066">
              <w:rPr>
                <w:lang w:val="en-US"/>
              </w:rPr>
              <w:t xml:space="preserve">Besides their achievements in the publication and in-depth analysis of sources, Byzantine studies made important advances in the exploration of the Empire’s history in the tenth-eleventh centuries and of such matters as military organization and administration, ecclesiastical life, and domestic and foreign affairs. The facts of Byzantium’s relations with the nomads of the North Pontic steppes were more or less established. </w:t>
            </w:r>
          </w:p>
          <w:p w:rsidR="004B4F9B" w:rsidRPr="00FA5066" w:rsidRDefault="00FA5066" w:rsidP="00966B83">
            <w:pPr>
              <w:pStyle w:val="TableContents"/>
              <w:spacing w:afterLines="100" w:line="360" w:lineRule="auto"/>
              <w:rPr>
                <w:lang w:val="en-US"/>
              </w:rPr>
            </w:pPr>
            <w:r w:rsidRPr="00FA5066">
              <w:rPr>
                <w:lang w:val="en-US"/>
              </w:rPr>
              <w:t>By the middle of the twentieth century, the summing-up of the existing sources and the search fo</w:t>
            </w:r>
            <w:r w:rsidR="00966B83">
              <w:rPr>
                <w:lang w:val="en-US"/>
              </w:rPr>
              <w:t>r new, mainly material ones had become</w:t>
            </w:r>
            <w:r w:rsidRPr="00FA5066">
              <w:rPr>
                <w:lang w:val="en-US"/>
              </w:rPr>
              <w:t xml:space="preserve"> the most promising avenues of research. Archaeology, numismatics, and sigillography were picking up steam; seals, coins, and </w:t>
            </w:r>
            <w:r w:rsidRPr="00FA5066">
              <w:rPr>
                <w:lang w:val="en-US"/>
              </w:rPr>
              <w:lastRenderedPageBreak/>
              <w:t xml:space="preserve">archaeological finds began to traverse the distance from the role of museum artifacts to that of full-fledged sources. </w:t>
            </w:r>
          </w:p>
          <w:p w:rsidR="004B4F9B" w:rsidRPr="00FA5066" w:rsidRDefault="004B4F9B" w:rsidP="00FA5066">
            <w:pPr>
              <w:spacing w:afterLines="100" w:line="360" w:lineRule="auto"/>
              <w:rPr>
                <w:rFonts w:ascii="Times New Roman" w:hAnsi="Times New Roman" w:cs="Times New Roman"/>
                <w:sz w:val="24"/>
                <w:szCs w:val="24"/>
                <w:lang w:val="en-US"/>
              </w:rPr>
            </w:pPr>
          </w:p>
        </w:tc>
      </w:tr>
    </w:tbl>
    <w:p w:rsidR="00450C45" w:rsidRPr="004B4F9B" w:rsidRDefault="00450C45" w:rsidP="00FA5066">
      <w:pPr>
        <w:rPr>
          <w:lang w:val="en-US"/>
        </w:rPr>
      </w:pPr>
    </w:p>
    <w:sectPr w:rsidR="00450C45" w:rsidRPr="004B4F9B" w:rsidSect="00623333">
      <w:footerReference w:type="default" r:id="rId6"/>
      <w:pgSz w:w="11906" w:h="16838"/>
      <w:pgMar w:top="1134" w:right="850"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2174" w:rsidRDefault="00352174" w:rsidP="00966B83">
      <w:pPr>
        <w:spacing w:after="0" w:line="240" w:lineRule="auto"/>
      </w:pPr>
      <w:r>
        <w:separator/>
      </w:r>
    </w:p>
  </w:endnote>
  <w:endnote w:type="continuationSeparator" w:id="1">
    <w:p w:rsidR="00352174" w:rsidRDefault="00352174" w:rsidP="00966B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3314610"/>
      <w:docPartObj>
        <w:docPartGallery w:val="Page Numbers (Bottom of Page)"/>
        <w:docPartUnique/>
      </w:docPartObj>
    </w:sdtPr>
    <w:sdtContent>
      <w:p w:rsidR="00966B83" w:rsidRDefault="00966B83">
        <w:pPr>
          <w:pStyle w:val="a7"/>
          <w:jc w:val="center"/>
        </w:pPr>
        <w:fldSimple w:instr=" PAGE   \* MERGEFORMAT ">
          <w:r>
            <w:rPr>
              <w:noProof/>
            </w:rPr>
            <w:t>1</w:t>
          </w:r>
        </w:fldSimple>
      </w:p>
    </w:sdtContent>
  </w:sdt>
  <w:p w:rsidR="00966B83" w:rsidRDefault="00966B8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2174" w:rsidRDefault="00352174" w:rsidP="00966B83">
      <w:pPr>
        <w:spacing w:after="0" w:line="240" w:lineRule="auto"/>
      </w:pPr>
      <w:r>
        <w:separator/>
      </w:r>
    </w:p>
  </w:footnote>
  <w:footnote w:type="continuationSeparator" w:id="1">
    <w:p w:rsidR="00352174" w:rsidRDefault="00352174" w:rsidP="00966B8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4B4F9B"/>
    <w:rsid w:val="001A5115"/>
    <w:rsid w:val="00352174"/>
    <w:rsid w:val="00450C45"/>
    <w:rsid w:val="004B4F9B"/>
    <w:rsid w:val="00623333"/>
    <w:rsid w:val="00966B83"/>
    <w:rsid w:val="00D65E5D"/>
    <w:rsid w:val="00DD772A"/>
    <w:rsid w:val="00FA50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33"/>
  </w:style>
  <w:style w:type="paragraph" w:styleId="2">
    <w:name w:val="heading 2"/>
    <w:basedOn w:val="a"/>
    <w:link w:val="20"/>
    <w:unhideWhenUsed/>
    <w:qFormat/>
    <w:rsid w:val="004B4F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B4F9B"/>
    <w:rPr>
      <w:rFonts w:ascii="Times New Roman" w:eastAsia="Times New Roman" w:hAnsi="Times New Roman" w:cs="Times New Roman"/>
      <w:b/>
      <w:bCs/>
      <w:sz w:val="36"/>
      <w:szCs w:val="36"/>
    </w:rPr>
  </w:style>
  <w:style w:type="paragraph" w:customStyle="1" w:styleId="TableContents">
    <w:name w:val="Table Contents"/>
    <w:basedOn w:val="a"/>
    <w:rsid w:val="004B4F9B"/>
    <w:pPr>
      <w:suppressLineNumbers/>
      <w:suppressAutoHyphens/>
      <w:spacing w:after="0" w:line="240" w:lineRule="auto"/>
    </w:pPr>
    <w:rPr>
      <w:rFonts w:ascii="Times New Roman" w:eastAsia="Times New Roman" w:hAnsi="Times New Roman" w:cs="Times New Roman"/>
      <w:kern w:val="2"/>
      <w:sz w:val="24"/>
      <w:szCs w:val="24"/>
      <w:lang w:eastAsia="ar-SA"/>
    </w:rPr>
  </w:style>
  <w:style w:type="paragraph" w:styleId="a3">
    <w:name w:val="Body Text Indent"/>
    <w:basedOn w:val="a"/>
    <w:link w:val="a4"/>
    <w:rsid w:val="00FA5066"/>
    <w:pPr>
      <w:shd w:val="clear" w:color="auto" w:fill="FFFFFF"/>
      <w:spacing w:after="0" w:line="360" w:lineRule="auto"/>
      <w:ind w:firstLine="709"/>
      <w:jc w:val="both"/>
    </w:pPr>
    <w:rPr>
      <w:rFonts w:ascii="Times New Roman" w:eastAsia="Times New Roman" w:hAnsi="Times New Roman" w:cs="Times New Roman"/>
      <w:sz w:val="28"/>
      <w:szCs w:val="20"/>
      <w:lang/>
    </w:rPr>
  </w:style>
  <w:style w:type="character" w:customStyle="1" w:styleId="a4">
    <w:name w:val="Основной текст с отступом Знак"/>
    <w:basedOn w:val="a0"/>
    <w:link w:val="a3"/>
    <w:rsid w:val="00FA5066"/>
    <w:rPr>
      <w:rFonts w:ascii="Times New Roman" w:eastAsia="Times New Roman" w:hAnsi="Times New Roman" w:cs="Times New Roman"/>
      <w:sz w:val="28"/>
      <w:szCs w:val="20"/>
      <w:shd w:val="clear" w:color="auto" w:fill="FFFFFF"/>
      <w:lang/>
    </w:rPr>
  </w:style>
  <w:style w:type="paragraph" w:styleId="a5">
    <w:name w:val="header"/>
    <w:basedOn w:val="a"/>
    <w:link w:val="a6"/>
    <w:uiPriority w:val="99"/>
    <w:semiHidden/>
    <w:unhideWhenUsed/>
    <w:rsid w:val="00966B8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66B83"/>
  </w:style>
  <w:style w:type="paragraph" w:styleId="a7">
    <w:name w:val="footer"/>
    <w:basedOn w:val="a"/>
    <w:link w:val="a8"/>
    <w:uiPriority w:val="99"/>
    <w:unhideWhenUsed/>
    <w:rsid w:val="00966B8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66B8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880</Words>
  <Characters>5017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2017-08-23T15:17:00Z</dcterms:created>
  <dcterms:modified xsi:type="dcterms:W3CDTF">2017-08-23T16:14:00Z</dcterms:modified>
</cp:coreProperties>
</file>